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EB" w:rsidRPr="0049394E" w:rsidRDefault="00AA5928" w:rsidP="00AA5928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4E">
        <w:rPr>
          <w:rFonts w:ascii="Times New Roman" w:hAnsi="Times New Roman" w:cs="Times New Roman"/>
          <w:b/>
          <w:sz w:val="28"/>
          <w:szCs w:val="28"/>
        </w:rPr>
        <w:t>INFORME N° 6</w:t>
      </w:r>
    </w:p>
    <w:p w:rsidR="00AA5928" w:rsidRPr="0049394E" w:rsidRDefault="00AA5928" w:rsidP="00AA5928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4E">
        <w:rPr>
          <w:rFonts w:ascii="Times New Roman" w:hAnsi="Times New Roman" w:cs="Times New Roman"/>
          <w:b/>
          <w:sz w:val="28"/>
          <w:szCs w:val="28"/>
        </w:rPr>
        <w:t>RESOLUCIONES JUDICIALES PUBLICADAS POR</w:t>
      </w:r>
    </w:p>
    <w:p w:rsidR="00AA5928" w:rsidRPr="0049394E" w:rsidRDefault="00AA5928" w:rsidP="00AA5928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4E">
        <w:rPr>
          <w:rFonts w:ascii="Times New Roman" w:hAnsi="Times New Roman" w:cs="Times New Roman"/>
          <w:b/>
          <w:sz w:val="28"/>
          <w:szCs w:val="28"/>
        </w:rPr>
        <w:t xml:space="preserve">DEPARTAMENTO </w:t>
      </w:r>
      <w:r w:rsidR="005A7C9C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Pr="0049394E">
        <w:rPr>
          <w:rFonts w:ascii="Times New Roman" w:hAnsi="Times New Roman" w:cs="Times New Roman"/>
          <w:b/>
          <w:sz w:val="28"/>
          <w:szCs w:val="28"/>
        </w:rPr>
        <w:t xml:space="preserve">COMUNICACIONES </w:t>
      </w:r>
      <w:r w:rsidR="00C45186">
        <w:rPr>
          <w:rFonts w:ascii="Times New Roman" w:hAnsi="Times New Roman" w:cs="Times New Roman"/>
          <w:b/>
          <w:sz w:val="28"/>
          <w:szCs w:val="28"/>
        </w:rPr>
        <w:t xml:space="preserve">DEL </w:t>
      </w:r>
      <w:r w:rsidRPr="0049394E">
        <w:rPr>
          <w:rFonts w:ascii="Times New Roman" w:hAnsi="Times New Roman" w:cs="Times New Roman"/>
          <w:b/>
          <w:sz w:val="28"/>
          <w:szCs w:val="28"/>
        </w:rPr>
        <w:t>PODER JUDICIAL</w:t>
      </w:r>
    </w:p>
    <w:p w:rsidR="00AA5928" w:rsidRDefault="00AA5928" w:rsidP="00AA5928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4E">
        <w:rPr>
          <w:rFonts w:ascii="Times New Roman" w:hAnsi="Times New Roman" w:cs="Times New Roman"/>
          <w:b/>
          <w:sz w:val="28"/>
          <w:szCs w:val="28"/>
        </w:rPr>
        <w:t xml:space="preserve">Semana del 28 </w:t>
      </w:r>
      <w:r w:rsidR="0062709F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Pr="0049394E">
        <w:rPr>
          <w:rFonts w:ascii="Times New Roman" w:hAnsi="Times New Roman" w:cs="Times New Roman"/>
          <w:b/>
          <w:sz w:val="28"/>
          <w:szCs w:val="28"/>
        </w:rPr>
        <w:t xml:space="preserve">noviembre al 2 </w:t>
      </w:r>
      <w:r w:rsidR="0062709F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Pr="0049394E">
        <w:rPr>
          <w:rFonts w:ascii="Times New Roman" w:hAnsi="Times New Roman" w:cs="Times New Roman"/>
          <w:b/>
          <w:sz w:val="28"/>
          <w:szCs w:val="28"/>
        </w:rPr>
        <w:t xml:space="preserve">diciembre </w:t>
      </w:r>
      <w:r w:rsidR="0062709F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Pr="0049394E">
        <w:rPr>
          <w:rFonts w:ascii="Times New Roman" w:hAnsi="Times New Roman" w:cs="Times New Roman"/>
          <w:b/>
          <w:sz w:val="28"/>
          <w:szCs w:val="28"/>
        </w:rPr>
        <w:t>2016</w:t>
      </w:r>
    </w:p>
    <w:p w:rsidR="0049394E" w:rsidRDefault="0049394E" w:rsidP="00AA5928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4E" w:rsidRDefault="0049394E" w:rsidP="00AA5928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4E" w:rsidRDefault="0049394E" w:rsidP="00AA5928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4E" w:rsidRDefault="0049394E" w:rsidP="004279A9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4E" w:rsidRDefault="0049394E" w:rsidP="004279A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1.-   El 29 de noviembre de 2016, el </w:t>
      </w:r>
      <w:r w:rsidR="00AD4397">
        <w:rPr>
          <w:rFonts w:ascii="Times New Roman" w:hAnsi="Times New Roman" w:cs="Times New Roman"/>
          <w:sz w:val="28"/>
          <w:szCs w:val="28"/>
        </w:rPr>
        <w:t>m</w:t>
      </w:r>
      <w:r w:rsidR="00BB5F49">
        <w:rPr>
          <w:rFonts w:ascii="Times New Roman" w:hAnsi="Times New Roman" w:cs="Times New Roman"/>
          <w:sz w:val="28"/>
          <w:szCs w:val="28"/>
        </w:rPr>
        <w:t>inistro</w:t>
      </w:r>
      <w:r w:rsidR="00427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Mario Carroza dictó acusación </w:t>
      </w:r>
      <w:r w:rsidR="00AA5851">
        <w:rPr>
          <w:rFonts w:ascii="Times New Roman" w:hAnsi="Times New Roman" w:cs="Times New Roman"/>
          <w:sz w:val="28"/>
          <w:szCs w:val="28"/>
        </w:rPr>
        <w:t xml:space="preserve">(elevando </w:t>
      </w:r>
      <w:r w:rsidR="00EC0CBC">
        <w:rPr>
          <w:rFonts w:ascii="Times New Roman" w:hAnsi="Times New Roman" w:cs="Times New Roman"/>
          <w:sz w:val="28"/>
          <w:szCs w:val="28"/>
        </w:rPr>
        <w:t xml:space="preserve">así </w:t>
      </w:r>
      <w:r w:rsidR="00AA5851">
        <w:rPr>
          <w:rFonts w:ascii="Times New Roman" w:hAnsi="Times New Roman" w:cs="Times New Roman"/>
          <w:sz w:val="28"/>
          <w:szCs w:val="28"/>
        </w:rPr>
        <w:t xml:space="preserve">la causa al estado de plenario) </w:t>
      </w:r>
      <w:r>
        <w:rPr>
          <w:rFonts w:ascii="Times New Roman" w:hAnsi="Times New Roman" w:cs="Times New Roman"/>
          <w:sz w:val="28"/>
          <w:szCs w:val="28"/>
        </w:rPr>
        <w:t xml:space="preserve">en contra de los ex integrantes de la Brigada de Asaltos de la Policía de Investigaciones, Martiniano Arias Fernández, Manuel Flores Jorquera y José Huaquimil Uribe, por su responsabilidad en calidad de autores del homicidio calificado de Ernesto Zúñiga Vergara, ocurrido el </w:t>
      </w:r>
      <w:r w:rsidR="0071400D">
        <w:rPr>
          <w:rFonts w:ascii="Times New Roman" w:hAnsi="Times New Roman" w:cs="Times New Roman"/>
          <w:sz w:val="28"/>
          <w:szCs w:val="28"/>
        </w:rPr>
        <w:t>16 de enero de 1982</w:t>
      </w:r>
      <w:r w:rsidR="004279A9">
        <w:rPr>
          <w:rFonts w:ascii="Times New Roman" w:hAnsi="Times New Roman" w:cs="Times New Roman"/>
          <w:sz w:val="28"/>
          <w:szCs w:val="28"/>
        </w:rPr>
        <w:t>,</w:t>
      </w:r>
      <w:r w:rsidR="0071400D">
        <w:rPr>
          <w:rFonts w:ascii="Times New Roman" w:hAnsi="Times New Roman" w:cs="Times New Roman"/>
          <w:sz w:val="28"/>
          <w:szCs w:val="28"/>
        </w:rPr>
        <w:t xml:space="preserve"> en la comuna de Pudahuel en Santiago.</w:t>
      </w:r>
    </w:p>
    <w:p w:rsidR="00114A36" w:rsidRDefault="00114A36" w:rsidP="004279A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Ernesto Vergara era uno de los marinos antigolpistas que permanecieron detenidos en el campo de concentración de Melinka, al interior de la Región de Valparaíso, y luego en la Cárcel Pública de Valparaíso. </w:t>
      </w:r>
    </w:p>
    <w:p w:rsidR="004279A9" w:rsidRDefault="00114A36" w:rsidP="004279A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El Mexicano, </w:t>
      </w:r>
      <w:r>
        <w:rPr>
          <w:rFonts w:ascii="Times New Roman" w:hAnsi="Times New Roman" w:cs="Times New Roman"/>
          <w:sz w:val="28"/>
          <w:szCs w:val="28"/>
        </w:rPr>
        <w:t xml:space="preserve">como lo llamaban sus compañeros de armas, era además militante del MIR. </w:t>
      </w:r>
    </w:p>
    <w:p w:rsidR="00114A36" w:rsidRDefault="00C727BF" w:rsidP="004279A9">
      <w:pPr>
        <w:spacing w:after="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Programa de Derechos Humanos es parte en este proceso. </w:t>
      </w:r>
      <w:r w:rsidR="00114A36">
        <w:rPr>
          <w:rFonts w:ascii="Times New Roman" w:hAnsi="Times New Roman" w:cs="Times New Roman"/>
          <w:i/>
          <w:sz w:val="28"/>
          <w:szCs w:val="28"/>
        </w:rPr>
        <w:t>(Se adjunta fallo).</w:t>
      </w:r>
    </w:p>
    <w:p w:rsidR="00114A36" w:rsidRDefault="00114A36" w:rsidP="004279A9">
      <w:pPr>
        <w:spacing w:after="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4A36" w:rsidRDefault="00114A36" w:rsidP="004279A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2.-   </w:t>
      </w:r>
      <w:r w:rsidR="009559A8">
        <w:rPr>
          <w:rFonts w:ascii="Times New Roman" w:hAnsi="Times New Roman" w:cs="Times New Roman"/>
          <w:sz w:val="28"/>
          <w:szCs w:val="28"/>
        </w:rPr>
        <w:t xml:space="preserve">El 28 de noviembre de 2016, el </w:t>
      </w:r>
      <w:r w:rsidR="00AD4397">
        <w:rPr>
          <w:rFonts w:ascii="Times New Roman" w:hAnsi="Times New Roman" w:cs="Times New Roman"/>
          <w:sz w:val="28"/>
          <w:szCs w:val="28"/>
        </w:rPr>
        <w:t>m</w:t>
      </w:r>
      <w:r w:rsidR="004279A9">
        <w:rPr>
          <w:rFonts w:ascii="Times New Roman" w:hAnsi="Times New Roman" w:cs="Times New Roman"/>
          <w:sz w:val="28"/>
          <w:szCs w:val="28"/>
        </w:rPr>
        <w:t xml:space="preserve">inistro </w:t>
      </w:r>
      <w:r w:rsidR="009559A8">
        <w:rPr>
          <w:rFonts w:ascii="Times New Roman" w:hAnsi="Times New Roman" w:cs="Times New Roman"/>
          <w:sz w:val="28"/>
          <w:szCs w:val="28"/>
        </w:rPr>
        <w:t>Mario Carroza procesó a los generales de Ejército (R), Víctor Prussing Schwartz y Hugo Arias Sáez, y el oficial de Ejército (R), Hamilton Rousseau Rosales, como autores del secuestro calificado de</w:t>
      </w:r>
      <w:r w:rsidR="00FE3D15">
        <w:rPr>
          <w:rFonts w:ascii="Times New Roman" w:hAnsi="Times New Roman" w:cs="Times New Roman"/>
          <w:sz w:val="28"/>
          <w:szCs w:val="28"/>
        </w:rPr>
        <w:t xml:space="preserve">l </w:t>
      </w:r>
      <w:r w:rsidR="004279A9">
        <w:rPr>
          <w:rFonts w:ascii="Times New Roman" w:hAnsi="Times New Roman" w:cs="Times New Roman"/>
          <w:sz w:val="28"/>
          <w:szCs w:val="28"/>
        </w:rPr>
        <w:t xml:space="preserve">adolescente </w:t>
      </w:r>
      <w:r w:rsidR="009559A8">
        <w:rPr>
          <w:rFonts w:ascii="Times New Roman" w:hAnsi="Times New Roman" w:cs="Times New Roman"/>
          <w:sz w:val="28"/>
          <w:szCs w:val="28"/>
        </w:rPr>
        <w:t>Mario Salinas Vera, ocurrido el 21 de octubre de 1973</w:t>
      </w:r>
      <w:r w:rsidR="004279A9">
        <w:rPr>
          <w:rFonts w:ascii="Times New Roman" w:hAnsi="Times New Roman" w:cs="Times New Roman"/>
          <w:sz w:val="28"/>
          <w:szCs w:val="28"/>
        </w:rPr>
        <w:t>,</w:t>
      </w:r>
      <w:r w:rsidR="009559A8">
        <w:rPr>
          <w:rFonts w:ascii="Times New Roman" w:hAnsi="Times New Roman" w:cs="Times New Roman"/>
          <w:sz w:val="28"/>
          <w:szCs w:val="28"/>
        </w:rPr>
        <w:t xml:space="preserve"> en la comuna de Maipú en Santiago.</w:t>
      </w:r>
    </w:p>
    <w:p w:rsidR="004279A9" w:rsidRDefault="009559A8" w:rsidP="004279A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 tres encausados pertenecían al regimiento “Guardia Vieja”, el que a partir del golpe de Estado se i</w:t>
      </w:r>
      <w:r w:rsidR="003D0D4F">
        <w:rPr>
          <w:rFonts w:ascii="Times New Roman" w:hAnsi="Times New Roman" w:cs="Times New Roman"/>
          <w:sz w:val="28"/>
          <w:szCs w:val="28"/>
        </w:rPr>
        <w:t>nstaló en el recinto de la Feria Internacional de Santiago, FISA, en la comuna de Cerrillos en Santiago.</w:t>
      </w:r>
      <w:r w:rsidR="00FE3D15">
        <w:rPr>
          <w:rFonts w:ascii="Times New Roman" w:hAnsi="Times New Roman" w:cs="Times New Roman"/>
          <w:sz w:val="28"/>
          <w:szCs w:val="28"/>
        </w:rPr>
        <w:t xml:space="preserve"> Mario Salinas era un estudiante</w:t>
      </w:r>
      <w:r w:rsidR="00AA5851">
        <w:rPr>
          <w:rFonts w:ascii="Times New Roman" w:hAnsi="Times New Roman" w:cs="Times New Roman"/>
          <w:sz w:val="28"/>
          <w:szCs w:val="28"/>
        </w:rPr>
        <w:t xml:space="preserve"> de 16 años y </w:t>
      </w:r>
      <w:r w:rsidR="00F65372">
        <w:rPr>
          <w:rFonts w:ascii="Times New Roman" w:hAnsi="Times New Roman" w:cs="Times New Roman"/>
          <w:sz w:val="28"/>
          <w:szCs w:val="28"/>
        </w:rPr>
        <w:t>es un detenido desaparecido.</w:t>
      </w:r>
      <w:r w:rsidR="00E43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D15" w:rsidRDefault="008055E6" w:rsidP="004279A9">
      <w:pPr>
        <w:spacing w:after="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Programa de Derechos Humanos es parte en este proceso. </w:t>
      </w:r>
      <w:r w:rsidR="00E43FC9">
        <w:rPr>
          <w:rFonts w:ascii="Times New Roman" w:hAnsi="Times New Roman" w:cs="Times New Roman"/>
          <w:i/>
          <w:sz w:val="28"/>
          <w:szCs w:val="28"/>
        </w:rPr>
        <w:t>(Se adjunta resolución).</w:t>
      </w:r>
    </w:p>
    <w:p w:rsidR="00B61650" w:rsidRDefault="00B61650" w:rsidP="004279A9">
      <w:pPr>
        <w:spacing w:after="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79A9" w:rsidRDefault="00B61650" w:rsidP="004279A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3.-   </w:t>
      </w:r>
      <w:r w:rsidR="00E85D22">
        <w:rPr>
          <w:rFonts w:ascii="Times New Roman" w:hAnsi="Times New Roman" w:cs="Times New Roman"/>
          <w:sz w:val="28"/>
          <w:szCs w:val="28"/>
        </w:rPr>
        <w:t xml:space="preserve">El 28 de noviembre 2016, el </w:t>
      </w:r>
      <w:r w:rsidR="00BB5F49">
        <w:rPr>
          <w:rFonts w:ascii="Times New Roman" w:hAnsi="Times New Roman" w:cs="Times New Roman"/>
          <w:sz w:val="28"/>
          <w:szCs w:val="28"/>
        </w:rPr>
        <w:t>m</w:t>
      </w:r>
      <w:r w:rsidR="004279A9">
        <w:rPr>
          <w:rFonts w:ascii="Times New Roman" w:hAnsi="Times New Roman" w:cs="Times New Roman"/>
          <w:sz w:val="28"/>
          <w:szCs w:val="28"/>
        </w:rPr>
        <w:t xml:space="preserve">inistro </w:t>
      </w:r>
      <w:r w:rsidR="00E85D22">
        <w:rPr>
          <w:rFonts w:ascii="Times New Roman" w:hAnsi="Times New Roman" w:cs="Times New Roman"/>
          <w:sz w:val="28"/>
          <w:szCs w:val="28"/>
        </w:rPr>
        <w:t>Mario Carroza procesó a los ex agentes</w:t>
      </w:r>
      <w:r w:rsidR="004279A9">
        <w:rPr>
          <w:rFonts w:ascii="Times New Roman" w:hAnsi="Times New Roman" w:cs="Times New Roman"/>
          <w:sz w:val="28"/>
          <w:szCs w:val="28"/>
        </w:rPr>
        <w:t xml:space="preserve"> de la</w:t>
      </w:r>
      <w:r w:rsidR="00E85D22">
        <w:rPr>
          <w:rFonts w:ascii="Times New Roman" w:hAnsi="Times New Roman" w:cs="Times New Roman"/>
          <w:sz w:val="28"/>
          <w:szCs w:val="28"/>
        </w:rPr>
        <w:t xml:space="preserve"> DINA: Miguel Krassnoff Martchencko, Basclay Zapata Reyes, Raúl Iturriaga Neumann, Ciro Torré Sáez, Manuel Carevic Cubillos, César Manríquez Bravo y </w:t>
      </w:r>
      <w:r w:rsidR="00E85D22">
        <w:rPr>
          <w:rFonts w:ascii="Times New Roman" w:hAnsi="Times New Roman" w:cs="Times New Roman"/>
          <w:sz w:val="28"/>
          <w:szCs w:val="28"/>
        </w:rPr>
        <w:lastRenderedPageBreak/>
        <w:t>Orlando Manzo Durán, en calidad de coautores de los secuestros calificados de Luis Fuentes Riquelme y Néstor Gallardo Agüero, ambos militantes del</w:t>
      </w:r>
      <w:r w:rsidR="00B10A6B">
        <w:rPr>
          <w:rFonts w:ascii="Times New Roman" w:hAnsi="Times New Roman" w:cs="Times New Roman"/>
          <w:sz w:val="28"/>
          <w:szCs w:val="28"/>
        </w:rPr>
        <w:t xml:space="preserve"> MIR, </w:t>
      </w:r>
      <w:r w:rsidR="00E85D22">
        <w:rPr>
          <w:rFonts w:ascii="Times New Roman" w:hAnsi="Times New Roman" w:cs="Times New Roman"/>
          <w:sz w:val="28"/>
          <w:szCs w:val="28"/>
        </w:rPr>
        <w:t>acontecidos el 20 y 28 de septiembre de 1974, respectivamente.</w:t>
      </w:r>
      <w:r w:rsidR="00B10A6B">
        <w:rPr>
          <w:rFonts w:ascii="Times New Roman" w:hAnsi="Times New Roman" w:cs="Times New Roman"/>
          <w:sz w:val="28"/>
          <w:szCs w:val="28"/>
        </w:rPr>
        <w:t xml:space="preserve"> </w:t>
      </w:r>
      <w:r w:rsidR="00297A0B">
        <w:rPr>
          <w:rFonts w:ascii="Times New Roman" w:hAnsi="Times New Roman" w:cs="Times New Roman"/>
          <w:sz w:val="28"/>
          <w:szCs w:val="28"/>
        </w:rPr>
        <w:t xml:space="preserve">Ambos permanecen </w:t>
      </w:r>
      <w:r w:rsidR="001161BC">
        <w:rPr>
          <w:rFonts w:ascii="Times New Roman" w:hAnsi="Times New Roman" w:cs="Times New Roman"/>
          <w:sz w:val="28"/>
          <w:szCs w:val="28"/>
        </w:rPr>
        <w:t xml:space="preserve">desaparecidos. </w:t>
      </w:r>
    </w:p>
    <w:p w:rsidR="00B61650" w:rsidRDefault="0029589D" w:rsidP="004279A9">
      <w:pPr>
        <w:spacing w:after="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Programa de Derecho Humanos es parte en esta causa. </w:t>
      </w:r>
      <w:r w:rsidR="00B10A6B">
        <w:rPr>
          <w:rFonts w:ascii="Times New Roman" w:hAnsi="Times New Roman" w:cs="Times New Roman"/>
          <w:i/>
          <w:sz w:val="28"/>
          <w:szCs w:val="28"/>
        </w:rPr>
        <w:t>(Se adjuntan ambos fallos).</w:t>
      </w:r>
    </w:p>
    <w:p w:rsidR="004F34D3" w:rsidRDefault="004F34D3" w:rsidP="004279A9">
      <w:pPr>
        <w:spacing w:after="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4D3" w:rsidRDefault="004F34D3" w:rsidP="004279A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4.-   El 29 de noviembre 2016, en votación dividida de tres a dos, la Sala Penal de la Corte Suprema rechazó el recurso de amparo interpuesto por el ex agente</w:t>
      </w:r>
      <w:r w:rsidR="00B342F2">
        <w:rPr>
          <w:rFonts w:ascii="Times New Roman" w:hAnsi="Times New Roman" w:cs="Times New Roman"/>
          <w:sz w:val="28"/>
          <w:szCs w:val="28"/>
        </w:rPr>
        <w:t xml:space="preserve"> de la</w:t>
      </w:r>
      <w:r>
        <w:rPr>
          <w:rFonts w:ascii="Times New Roman" w:hAnsi="Times New Roman" w:cs="Times New Roman"/>
          <w:sz w:val="28"/>
          <w:szCs w:val="28"/>
        </w:rPr>
        <w:t xml:space="preserve"> DINA, coronel (R) Cristián Labbé Galilea, en contra de </w:t>
      </w:r>
      <w:r w:rsidR="009D4A03">
        <w:rPr>
          <w:rFonts w:ascii="Times New Roman" w:hAnsi="Times New Roman" w:cs="Times New Roman"/>
          <w:sz w:val="28"/>
          <w:szCs w:val="28"/>
        </w:rPr>
        <w:t>la resolución del ministro de la Corte de Apelaciones de Valparaíso, Jaime Arancibia Pinto, quien el 4 de noviembre de 2016 lo p</w:t>
      </w:r>
      <w:r w:rsidR="00A74620">
        <w:rPr>
          <w:rFonts w:ascii="Times New Roman" w:hAnsi="Times New Roman" w:cs="Times New Roman"/>
          <w:sz w:val="28"/>
          <w:szCs w:val="28"/>
        </w:rPr>
        <w:t>rocesó en calidad de autor por el delito de secuestro y apremios ilegítimos</w:t>
      </w:r>
      <w:r w:rsidR="009D4A03">
        <w:rPr>
          <w:rFonts w:ascii="Times New Roman" w:hAnsi="Times New Roman" w:cs="Times New Roman"/>
          <w:sz w:val="28"/>
          <w:szCs w:val="28"/>
        </w:rPr>
        <w:t xml:space="preserve"> en contra del dirigente de los pescadores artesanales d</w:t>
      </w:r>
      <w:r w:rsidR="00921D92">
        <w:rPr>
          <w:rFonts w:ascii="Times New Roman" w:hAnsi="Times New Roman" w:cs="Times New Roman"/>
          <w:sz w:val="28"/>
          <w:szCs w:val="28"/>
        </w:rPr>
        <w:t>e la ciudad de San Antonio,</w:t>
      </w:r>
      <w:r w:rsidR="009D4A03">
        <w:rPr>
          <w:rFonts w:ascii="Times New Roman" w:hAnsi="Times New Roman" w:cs="Times New Roman"/>
          <w:sz w:val="28"/>
          <w:szCs w:val="28"/>
        </w:rPr>
        <w:t xml:space="preserve"> Región </w:t>
      </w:r>
      <w:r w:rsidR="00F16F7C">
        <w:rPr>
          <w:rFonts w:ascii="Times New Roman" w:hAnsi="Times New Roman" w:cs="Times New Roman"/>
          <w:sz w:val="28"/>
          <w:szCs w:val="28"/>
        </w:rPr>
        <w:t>de Valparaíso, Cosme Caracciolo Álvarez.</w:t>
      </w:r>
    </w:p>
    <w:p w:rsidR="009F44BD" w:rsidRDefault="00734460" w:rsidP="004279A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Anterior</w:t>
      </w:r>
      <w:r w:rsidR="009F44BD">
        <w:rPr>
          <w:rFonts w:ascii="Times New Roman" w:hAnsi="Times New Roman" w:cs="Times New Roman"/>
          <w:sz w:val="28"/>
          <w:szCs w:val="28"/>
        </w:rPr>
        <w:t xml:space="preserve">mente, </w:t>
      </w:r>
      <w:r w:rsidR="00E16EBA">
        <w:rPr>
          <w:rFonts w:ascii="Times New Roman" w:hAnsi="Times New Roman" w:cs="Times New Roman"/>
          <w:sz w:val="28"/>
          <w:szCs w:val="28"/>
        </w:rPr>
        <w:t>el 14 de noviembre pasado</w:t>
      </w:r>
      <w:r w:rsidR="00DE69D7">
        <w:rPr>
          <w:rFonts w:ascii="Times New Roman" w:hAnsi="Times New Roman" w:cs="Times New Roman"/>
          <w:sz w:val="28"/>
          <w:szCs w:val="28"/>
        </w:rPr>
        <w:t>,</w:t>
      </w:r>
      <w:r w:rsidR="00E16EBA">
        <w:rPr>
          <w:rFonts w:ascii="Times New Roman" w:hAnsi="Times New Roman" w:cs="Times New Roman"/>
          <w:sz w:val="28"/>
          <w:szCs w:val="28"/>
        </w:rPr>
        <w:t xml:space="preserve"> </w:t>
      </w:r>
      <w:r w:rsidR="009F44BD">
        <w:rPr>
          <w:rFonts w:ascii="Times New Roman" w:hAnsi="Times New Roman" w:cs="Times New Roman"/>
          <w:sz w:val="28"/>
          <w:szCs w:val="28"/>
        </w:rPr>
        <w:t>la Tercera Sala de la Corte de Apelaciones de Valparaíso, por dos votos contra uno, había rechazado el recurso de Labbé.</w:t>
      </w:r>
    </w:p>
    <w:p w:rsidR="005E1C86" w:rsidRPr="00222261" w:rsidRDefault="009F44BD" w:rsidP="004279A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fundamento principal</w:t>
      </w:r>
      <w:r w:rsidR="00E325A5">
        <w:rPr>
          <w:rFonts w:ascii="Times New Roman" w:hAnsi="Times New Roman" w:cs="Times New Roman"/>
          <w:sz w:val="28"/>
          <w:szCs w:val="28"/>
        </w:rPr>
        <w:t xml:space="preserve"> de ambas resoluciones es que el recurso de amparo no es la vía para impugnar los hechos por los cuales Labbé fue encausado, sino la apelación al auto de procesamiento </w:t>
      </w:r>
      <w:r w:rsidR="00942829">
        <w:rPr>
          <w:rFonts w:ascii="Times New Roman" w:hAnsi="Times New Roman" w:cs="Times New Roman"/>
          <w:sz w:val="28"/>
          <w:szCs w:val="28"/>
        </w:rPr>
        <w:t xml:space="preserve">dictado, </w:t>
      </w:r>
      <w:r w:rsidR="00E325A5">
        <w:rPr>
          <w:rFonts w:ascii="Times New Roman" w:hAnsi="Times New Roman" w:cs="Times New Roman"/>
          <w:sz w:val="28"/>
          <w:szCs w:val="28"/>
        </w:rPr>
        <w:t>donde se discute el fondo de los antecedentes.</w:t>
      </w:r>
      <w:r w:rsidR="00222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3D73">
        <w:rPr>
          <w:rFonts w:ascii="Times New Roman" w:hAnsi="Times New Roman" w:cs="Times New Roman"/>
          <w:i/>
          <w:sz w:val="28"/>
          <w:szCs w:val="28"/>
        </w:rPr>
        <w:t xml:space="preserve">(Se adjuntan </w:t>
      </w:r>
      <w:r w:rsidR="005E1C86">
        <w:rPr>
          <w:rFonts w:ascii="Times New Roman" w:hAnsi="Times New Roman" w:cs="Times New Roman"/>
          <w:i/>
          <w:sz w:val="28"/>
          <w:szCs w:val="28"/>
        </w:rPr>
        <w:t>resoluciones</w:t>
      </w:r>
      <w:r w:rsidR="00D73D73">
        <w:rPr>
          <w:rFonts w:ascii="Times New Roman" w:hAnsi="Times New Roman" w:cs="Times New Roman"/>
          <w:i/>
          <w:sz w:val="28"/>
          <w:szCs w:val="28"/>
        </w:rPr>
        <w:t xml:space="preserve"> de ambas Cortes</w:t>
      </w:r>
      <w:r w:rsidR="005E1C86">
        <w:rPr>
          <w:rFonts w:ascii="Times New Roman" w:hAnsi="Times New Roman" w:cs="Times New Roman"/>
          <w:i/>
          <w:sz w:val="28"/>
          <w:szCs w:val="28"/>
        </w:rPr>
        <w:t>).</w:t>
      </w:r>
    </w:p>
    <w:p w:rsidR="00560F01" w:rsidRDefault="00560F01" w:rsidP="004279A9">
      <w:pPr>
        <w:spacing w:after="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F01" w:rsidRDefault="003E6FF8" w:rsidP="004279A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5.-   </w:t>
      </w:r>
      <w:r w:rsidR="00F61DA3">
        <w:rPr>
          <w:rFonts w:ascii="Times New Roman" w:hAnsi="Times New Roman" w:cs="Times New Roman"/>
          <w:sz w:val="28"/>
          <w:szCs w:val="28"/>
        </w:rPr>
        <w:t>El 28 de noviembre 2016</w:t>
      </w:r>
      <w:r w:rsidR="007968EC">
        <w:rPr>
          <w:rFonts w:ascii="Times New Roman" w:hAnsi="Times New Roman" w:cs="Times New Roman"/>
          <w:sz w:val="28"/>
          <w:szCs w:val="28"/>
        </w:rPr>
        <w:t>,</w:t>
      </w:r>
      <w:r w:rsidR="00F61DA3">
        <w:rPr>
          <w:rFonts w:ascii="Times New Roman" w:hAnsi="Times New Roman" w:cs="Times New Roman"/>
          <w:sz w:val="28"/>
          <w:szCs w:val="28"/>
        </w:rPr>
        <w:t xml:space="preserve"> el ministro Mario Carroza realizó una visita inspectiva al penal de Punta Peuco. De acuerdo a lo informado por el Departamento de Comunicaciones del Poder Judicial, la visita tuvo por motivo conocer</w:t>
      </w:r>
      <w:r w:rsidR="00AC09A4">
        <w:rPr>
          <w:rFonts w:ascii="Times New Roman" w:hAnsi="Times New Roman" w:cs="Times New Roman"/>
          <w:sz w:val="28"/>
          <w:szCs w:val="28"/>
        </w:rPr>
        <w:t xml:space="preserve"> las condiciones de salud</w:t>
      </w:r>
      <w:r w:rsidR="00E12E8D">
        <w:rPr>
          <w:rFonts w:ascii="Times New Roman" w:hAnsi="Times New Roman" w:cs="Times New Roman"/>
          <w:sz w:val="28"/>
          <w:szCs w:val="28"/>
        </w:rPr>
        <w:t>, edades y el estado del cumplimiento de las condenas</w:t>
      </w:r>
      <w:r w:rsidR="00AC09A4">
        <w:rPr>
          <w:rFonts w:ascii="Times New Roman" w:hAnsi="Times New Roman" w:cs="Times New Roman"/>
          <w:sz w:val="28"/>
          <w:szCs w:val="28"/>
        </w:rPr>
        <w:t xml:space="preserve"> de los 116 ex agentes que </w:t>
      </w:r>
      <w:r w:rsidR="007D129C">
        <w:rPr>
          <w:rFonts w:ascii="Times New Roman" w:hAnsi="Times New Roman" w:cs="Times New Roman"/>
          <w:sz w:val="28"/>
          <w:szCs w:val="28"/>
        </w:rPr>
        <w:t>permanecen en este</w:t>
      </w:r>
      <w:r w:rsidR="007968EC">
        <w:rPr>
          <w:rFonts w:ascii="Times New Roman" w:hAnsi="Times New Roman" w:cs="Times New Roman"/>
          <w:sz w:val="28"/>
          <w:szCs w:val="28"/>
        </w:rPr>
        <w:t xml:space="preserve"> recinto penitenciario</w:t>
      </w:r>
      <w:r w:rsidR="00AC09A4">
        <w:rPr>
          <w:rFonts w:ascii="Times New Roman" w:hAnsi="Times New Roman" w:cs="Times New Roman"/>
          <w:sz w:val="28"/>
          <w:szCs w:val="28"/>
        </w:rPr>
        <w:t>.</w:t>
      </w:r>
    </w:p>
    <w:p w:rsidR="00AC09A4" w:rsidRDefault="00AC09A4" w:rsidP="004279A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Según un in</w:t>
      </w:r>
      <w:r w:rsidR="00421029">
        <w:rPr>
          <w:rFonts w:ascii="Times New Roman" w:hAnsi="Times New Roman" w:cs="Times New Roman"/>
          <w:sz w:val="28"/>
          <w:szCs w:val="28"/>
        </w:rPr>
        <w:t xml:space="preserve">forme de Gendarmería </w:t>
      </w:r>
      <w:r>
        <w:rPr>
          <w:rFonts w:ascii="Times New Roman" w:hAnsi="Times New Roman" w:cs="Times New Roman"/>
          <w:sz w:val="28"/>
          <w:szCs w:val="28"/>
        </w:rPr>
        <w:t>entregado</w:t>
      </w:r>
      <w:r w:rsidR="00421029">
        <w:rPr>
          <w:rFonts w:ascii="Times New Roman" w:hAnsi="Times New Roman" w:cs="Times New Roman"/>
          <w:sz w:val="28"/>
          <w:szCs w:val="28"/>
        </w:rPr>
        <w:t xml:space="preserve"> al juez</w:t>
      </w:r>
      <w:r>
        <w:rPr>
          <w:rFonts w:ascii="Times New Roman" w:hAnsi="Times New Roman" w:cs="Times New Roman"/>
          <w:sz w:val="28"/>
          <w:szCs w:val="28"/>
        </w:rPr>
        <w:t>, de los 116 internos, 60 de ellos se encuentran en buenas condiciones de salud, 48 en condiciones reg</w:t>
      </w:r>
      <w:r w:rsidR="007A2BFA">
        <w:rPr>
          <w:rFonts w:ascii="Times New Roman" w:hAnsi="Times New Roman" w:cs="Times New Roman"/>
          <w:sz w:val="28"/>
          <w:szCs w:val="28"/>
        </w:rPr>
        <w:t>ulares y 8 en malas condiciones de salud.</w:t>
      </w:r>
    </w:p>
    <w:p w:rsidR="00AC09A4" w:rsidRDefault="00AC09A4" w:rsidP="004279A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informe detalla que 6 internos tienen menos de 60 años, 17 tienen entre 60 y 65 años, y 93 </w:t>
      </w:r>
      <w:r w:rsidR="005B5AFC">
        <w:rPr>
          <w:rFonts w:ascii="Times New Roman" w:hAnsi="Times New Roman" w:cs="Times New Roman"/>
          <w:sz w:val="28"/>
          <w:szCs w:val="28"/>
        </w:rPr>
        <w:t>(80,17 %</w:t>
      </w:r>
      <w:r w:rsidR="00A724E9">
        <w:rPr>
          <w:rFonts w:ascii="Times New Roman" w:hAnsi="Times New Roman" w:cs="Times New Roman"/>
          <w:sz w:val="28"/>
          <w:szCs w:val="28"/>
        </w:rPr>
        <w:t xml:space="preserve"> del total</w:t>
      </w:r>
      <w:r w:rsidR="00910151">
        <w:rPr>
          <w:rFonts w:ascii="Times New Roman" w:hAnsi="Times New Roman" w:cs="Times New Roman"/>
          <w:sz w:val="28"/>
          <w:szCs w:val="28"/>
        </w:rPr>
        <w:t>) son mayores de 65 años.</w:t>
      </w:r>
    </w:p>
    <w:p w:rsidR="00A74620" w:rsidRPr="004F34D3" w:rsidRDefault="008843E1" w:rsidP="00AD4397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Luego de esta inspección, el magistrado ordenó que el Servicio Médico Legal practique exámenes</w:t>
      </w:r>
      <w:r w:rsidR="002C7CFA">
        <w:rPr>
          <w:rFonts w:ascii="Times New Roman" w:hAnsi="Times New Roman" w:cs="Times New Roman"/>
          <w:sz w:val="28"/>
          <w:szCs w:val="28"/>
        </w:rPr>
        <w:t xml:space="preserve"> a los internos José Fritz Esparza y Risi</w:t>
      </w:r>
      <w:r w:rsidR="00D85F1D">
        <w:rPr>
          <w:rFonts w:ascii="Times New Roman" w:hAnsi="Times New Roman" w:cs="Times New Roman"/>
          <w:sz w:val="28"/>
          <w:szCs w:val="28"/>
        </w:rPr>
        <w:t xml:space="preserve">ere Altez España, para </w:t>
      </w:r>
      <w:r w:rsidR="002C7CFA">
        <w:rPr>
          <w:rFonts w:ascii="Times New Roman" w:hAnsi="Times New Roman" w:cs="Times New Roman"/>
          <w:sz w:val="28"/>
          <w:szCs w:val="28"/>
        </w:rPr>
        <w:t>conocer el real estado de salud de ambos.</w:t>
      </w:r>
      <w:r w:rsidR="0044686B">
        <w:rPr>
          <w:rFonts w:ascii="Times New Roman" w:hAnsi="Times New Roman" w:cs="Times New Roman"/>
          <w:sz w:val="28"/>
          <w:szCs w:val="28"/>
        </w:rPr>
        <w:t xml:space="preserve"> </w:t>
      </w:r>
      <w:r w:rsidR="0044686B">
        <w:rPr>
          <w:rFonts w:ascii="Times New Roman" w:hAnsi="Times New Roman" w:cs="Times New Roman"/>
          <w:i/>
          <w:sz w:val="28"/>
          <w:szCs w:val="28"/>
        </w:rPr>
        <w:t>(No se entregó resolución).</w:t>
      </w:r>
    </w:p>
    <w:sectPr w:rsidR="00A74620" w:rsidRPr="004F34D3" w:rsidSect="00AA5928">
      <w:pgSz w:w="12240" w:h="15840"/>
      <w:pgMar w:top="1418" w:right="1701" w:bottom="1418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A5928"/>
    <w:rsid w:val="00114A36"/>
    <w:rsid w:val="001161BC"/>
    <w:rsid w:val="001B0CBA"/>
    <w:rsid w:val="00222261"/>
    <w:rsid w:val="0029589D"/>
    <w:rsid w:val="00297A0B"/>
    <w:rsid w:val="002C7CFA"/>
    <w:rsid w:val="003D0D4F"/>
    <w:rsid w:val="003E6FF8"/>
    <w:rsid w:val="003F2052"/>
    <w:rsid w:val="00421029"/>
    <w:rsid w:val="004279A9"/>
    <w:rsid w:val="0044686B"/>
    <w:rsid w:val="00452BCE"/>
    <w:rsid w:val="0049394E"/>
    <w:rsid w:val="004F34D3"/>
    <w:rsid w:val="00560F01"/>
    <w:rsid w:val="005A7C9C"/>
    <w:rsid w:val="005B5AFC"/>
    <w:rsid w:val="005E1C86"/>
    <w:rsid w:val="0062709F"/>
    <w:rsid w:val="0071400D"/>
    <w:rsid w:val="00734460"/>
    <w:rsid w:val="007968EC"/>
    <w:rsid w:val="007A2BFA"/>
    <w:rsid w:val="007D129C"/>
    <w:rsid w:val="008055E6"/>
    <w:rsid w:val="008843E1"/>
    <w:rsid w:val="008B3FD9"/>
    <w:rsid w:val="00910151"/>
    <w:rsid w:val="00921D92"/>
    <w:rsid w:val="00942829"/>
    <w:rsid w:val="0095330F"/>
    <w:rsid w:val="009559A8"/>
    <w:rsid w:val="009A50EB"/>
    <w:rsid w:val="009D4A03"/>
    <w:rsid w:val="009F44BD"/>
    <w:rsid w:val="00A6493B"/>
    <w:rsid w:val="00A724E9"/>
    <w:rsid w:val="00A74620"/>
    <w:rsid w:val="00AA5851"/>
    <w:rsid w:val="00AA5928"/>
    <w:rsid w:val="00AC09A4"/>
    <w:rsid w:val="00AC7082"/>
    <w:rsid w:val="00AD4397"/>
    <w:rsid w:val="00B10A6B"/>
    <w:rsid w:val="00B342F2"/>
    <w:rsid w:val="00B61650"/>
    <w:rsid w:val="00BB5F49"/>
    <w:rsid w:val="00C45186"/>
    <w:rsid w:val="00C727BF"/>
    <w:rsid w:val="00D73D73"/>
    <w:rsid w:val="00D837EA"/>
    <w:rsid w:val="00D85F1D"/>
    <w:rsid w:val="00DE69D7"/>
    <w:rsid w:val="00E0596C"/>
    <w:rsid w:val="00E12E8D"/>
    <w:rsid w:val="00E16EBA"/>
    <w:rsid w:val="00E325A5"/>
    <w:rsid w:val="00E43FC9"/>
    <w:rsid w:val="00E85D22"/>
    <w:rsid w:val="00EC0CBC"/>
    <w:rsid w:val="00F13BE4"/>
    <w:rsid w:val="00F16F7C"/>
    <w:rsid w:val="00F61DA3"/>
    <w:rsid w:val="00F65372"/>
    <w:rsid w:val="00FE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9A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279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9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9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9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9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9A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279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9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9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9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9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Escalante Hidalgo</dc:creator>
  <cp:lastModifiedBy>mmiddleton</cp:lastModifiedBy>
  <cp:revision>2</cp:revision>
  <cp:lastPrinted>2016-12-05T11:34:00Z</cp:lastPrinted>
  <dcterms:created xsi:type="dcterms:W3CDTF">2016-12-05T15:15:00Z</dcterms:created>
  <dcterms:modified xsi:type="dcterms:W3CDTF">2016-12-05T15:15:00Z</dcterms:modified>
</cp:coreProperties>
</file>